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764" w:rsidRPr="00E25764" w:rsidRDefault="00E25764" w:rsidP="00E25764">
      <w:pPr>
        <w:spacing w:before="120" w:after="120" w:line="360" w:lineRule="auto"/>
        <w:jc w:val="both"/>
        <w:rPr>
          <w:rFonts w:eastAsiaTheme="majorEastAsia"/>
          <w:lang w:val="vi-VN"/>
        </w:rPr>
      </w:pPr>
      <w:r w:rsidRPr="0008073E">
        <w:rPr>
          <w:rFonts w:eastAsiaTheme="majorEastAsia"/>
          <w:b/>
          <w:sz w:val="24"/>
          <w:szCs w:val="24"/>
          <w:lang w:val="vi-VN"/>
        </w:rPr>
        <w:t>TỬ NGỮ</w:t>
      </w:r>
      <w:r w:rsidRPr="0008073E">
        <w:rPr>
          <w:rFonts w:eastAsiaTheme="majorEastAsia"/>
          <w:b/>
          <w:lang w:val="vi-VN"/>
        </w:rPr>
        <w:t xml:space="preserve"> (Dead Language)</w:t>
      </w:r>
      <w:r w:rsidRPr="0008073E">
        <w:rPr>
          <w:rFonts w:eastAsiaTheme="majorEastAsia"/>
          <w:bCs/>
          <w:lang w:val="vi-VN"/>
        </w:rPr>
        <w:t>,</w:t>
      </w:r>
      <w:r w:rsidRPr="0008073E">
        <w:rPr>
          <w:rFonts w:eastAsiaTheme="majorEastAsia"/>
          <w:lang w:val="vi-VN"/>
        </w:rPr>
        <w:t xml:space="preserve"> một ngôn ngữ không còn được sử dụng trong giao tiếp hàng ngày giữa các cá nhân của một cộng đồng ngôn ngữ nào đó và ngày nay chúng chỉ còn được biết đến qua các văn bản cổ hoặc được đề cập tới trong các hoàn cảnh giao tiếp đặc biệt; phân biệt với sinh ngữ. </w:t>
      </w:r>
      <w:bookmarkStart w:id="0" w:name="_Hlk146465379"/>
      <w:r w:rsidRPr="00E25764">
        <w:rPr>
          <w:rFonts w:eastAsiaTheme="majorEastAsia"/>
          <w:lang w:val="vi-VN"/>
        </w:rPr>
        <w:t>Có thể kể đến các tử ngữ như tiếng Latin, tiếng Phạn, tiếng Sanskrit.</w:t>
      </w:r>
    </w:p>
    <w:bookmarkEnd w:id="0"/>
    <w:p w:rsidR="00E25764" w:rsidRPr="00E25764" w:rsidRDefault="00E25764" w:rsidP="00E25764">
      <w:pPr>
        <w:spacing w:before="120" w:after="120" w:line="360" w:lineRule="auto"/>
        <w:ind w:firstLine="567"/>
        <w:jc w:val="both"/>
        <w:rPr>
          <w:rFonts w:eastAsiaTheme="majorEastAsia"/>
          <w:lang w:val="vi-VN"/>
        </w:rPr>
      </w:pPr>
      <w:r w:rsidRPr="00E25764">
        <w:rPr>
          <w:rFonts w:eastAsiaTheme="majorEastAsia"/>
          <w:lang w:val="vi-VN"/>
        </w:rPr>
        <w:t xml:space="preserve">Thuật ngữ này có thể được hiểu theo hai cách. Cách hiểu thứ nhất, TN là một ngôn ngữ đã biến mất với tư cách là tiếng mẹ đẻ do: (1) những người nói ngôn ngữ đó đã không còn nói ngôn ngữ đó nữa để chuyển sang nói một ngôn ngữ khác; (2) những người nói ngôn ngữ đó đã bị chết. Có thể kể đến các ví dụ cho loại TN này như tiếng Sumerian, tiếng Akkadian, tiếng Hittite ở vùng Trung Đông đã biến mất, hay một số ngôn ngữ Ấn – Âu vào thời La Mã đã biến mất, vì người ta thích nói tiếng Latin, ví dụ, tiếng Etruscan ở Italia, tiếng Gaulish ở Gaul. Hay như ở Australia và Mỹ, hàng trăm ngôn ngữ bản địa đã bị từ bỏ để chuyển sang nói tiếng Anh, tiếng Tây Ban Nha và tiếng Bồ Đào Nha. Cách hiểu thứ hai, ngôn ngữ đang được nói đến chưa bao giờ được nói với tư cách là tiếng mẹ đẻ, nhưng sau một thời gian, nó biến đổi về cơ bản đến mức những hình thức sau này của nó khác với hình thức trước đây, ví dụ như tiếng Latin. Có thể thấy điều này qua tiếng Latin, ngôn ngữ vẫn luôn được nói ở Bồ Đào Nha, Tây Ban Nha, Pháp và Italia, tuy nhiên, hình thức hiện đại của tiếng Latin đã khác so với thứ tiếng Latin nguyên sơ của người Roman trước đây, và nó cũng khác lẫn nhau. Vì thế chúng ta không gọi những thứ tiếng sau này là tiếng Latin nữa. Theo nghĩa đó, tiếng Latin là TN. Tiếng Latin có lẽ là ngôn ngữ chết được biết đến rộng rãi nhất. Không ai nói nó như ngôn ngữ hàng ngày của họ nữa, nhưng nó vẫn được nghiên cứu vì mục đích học thuật và nó cung cấp cho chúng ta rất nhiều </w:t>
      </w:r>
      <w:r w:rsidRPr="00E25764">
        <w:rPr>
          <w:rFonts w:eastAsiaTheme="majorEastAsia"/>
          <w:bCs/>
          <w:lang w:val="vi-VN"/>
        </w:rPr>
        <w:t xml:space="preserve">thông tin, đặc biệt là thông tin từ nguyên, </w:t>
      </w:r>
      <w:r w:rsidRPr="00E25764">
        <w:rPr>
          <w:rFonts w:eastAsiaTheme="majorEastAsia"/>
          <w:lang w:val="vi-VN"/>
        </w:rPr>
        <w:t>về các ngôn ngữ thông dụng khác vẫn đang được sử dụng.</w:t>
      </w:r>
    </w:p>
    <w:p w:rsidR="00E25764" w:rsidRPr="00537AD5" w:rsidRDefault="00E25764" w:rsidP="00E25764">
      <w:pPr>
        <w:spacing w:before="120" w:after="120" w:line="360" w:lineRule="auto"/>
        <w:ind w:firstLine="567"/>
        <w:jc w:val="both"/>
        <w:rPr>
          <w:rFonts w:eastAsiaTheme="majorEastAsia"/>
        </w:rPr>
      </w:pPr>
      <w:r w:rsidRPr="00537AD5">
        <w:rPr>
          <w:rFonts w:eastAsiaTheme="majorEastAsia"/>
        </w:rPr>
        <w:t xml:space="preserve">Quá trình chuyển đổi từ sinh ngữ sang ngôn ngữ tuyệt chủng xảy ra khi một ngôn ngữ trải qua cái chết của ngôn ngữ bằng cách trực tiếp thay thế bởi một ngôn </w:t>
      </w:r>
      <w:r w:rsidRPr="00537AD5">
        <w:rPr>
          <w:rFonts w:eastAsiaTheme="majorEastAsia"/>
        </w:rPr>
        <w:lastRenderedPageBreak/>
        <w:t>ngữ khác. Ví dụ, nhiều ngôn ngữ của người Mỹ bản địa đã được thay thế bằng tiếng Anh, tiếng Pháp, tiếng Bồ Đào Nha, tiếng Tây Ban Nha hoặc tiếng Hà Lan do quá trình thuộc địa hoá châu Mỹ của người châu Âu.</w:t>
      </w:r>
    </w:p>
    <w:p w:rsidR="00E25764" w:rsidRPr="00537AD5" w:rsidRDefault="00E25764" w:rsidP="00E25764">
      <w:pPr>
        <w:spacing w:before="120" w:after="120" w:line="360" w:lineRule="auto"/>
        <w:ind w:firstLine="567"/>
        <w:jc w:val="both"/>
        <w:rPr>
          <w:rFonts w:eastAsiaTheme="majorEastAsia"/>
        </w:rPr>
      </w:pPr>
      <w:r w:rsidRPr="00537AD5">
        <w:rPr>
          <w:rFonts w:eastAsiaTheme="majorEastAsia"/>
        </w:rPr>
        <w:t>Trái ngược với một ngôn ngữ đã tuyệt chủng (extinct language), không còn có bất kỳ người nói nào hoặc bất kỳ cách viết nào, TN (dead language) có thể vẫn được sử dụng như một ngôn ngữ văn học hoặc nghi lễ sau khi nó không còn được sử dụng như ngôn ngữ dùng hàng ngày nữa. Những ngôn ngữ như vậy đôi khi còn được gọi là TN</w:t>
      </w:r>
      <w:r w:rsidRPr="00537AD5">
        <w:rPr>
          <w:rFonts w:eastAsiaTheme="majorEastAsia"/>
          <w:highlight w:val="yellow"/>
        </w:rPr>
        <w:t>,</w:t>
      </w:r>
      <w:r w:rsidRPr="00537AD5">
        <w:rPr>
          <w:rFonts w:eastAsiaTheme="majorEastAsia"/>
        </w:rPr>
        <w:t xml:space="preserve"> nhưng thường được gọi là ngôn ngữ cổ điển. Tiếng Latin chính là một ví dụ điển hình của phương Tây về một ngôn ngữ như vậy, nhưng các trường hợp tương tự có thể được ghi nhận trong suốt lịch sử thế giới do xu hướng phổ biến là giữ lại một giai đoạn lịch sử của một ngôn ngữ chỉ còn lưu lại trong một số văn bản.</w:t>
      </w:r>
    </w:p>
    <w:p w:rsidR="00E25764" w:rsidRPr="00537AD5" w:rsidRDefault="00E25764" w:rsidP="00E25764">
      <w:pPr>
        <w:spacing w:before="120" w:after="120" w:line="360" w:lineRule="auto"/>
        <w:ind w:firstLine="567"/>
        <w:jc w:val="right"/>
        <w:rPr>
          <w:rFonts w:eastAsiaTheme="majorEastAsia"/>
          <w:b/>
          <w:sz w:val="20"/>
          <w:szCs w:val="20"/>
        </w:rPr>
      </w:pPr>
      <w:r w:rsidRPr="00537AD5">
        <w:rPr>
          <w:rFonts w:eastAsiaTheme="majorEastAsia"/>
          <w:b/>
        </w:rPr>
        <w:t xml:space="preserve">                                          </w:t>
      </w:r>
      <w:r w:rsidRPr="00537AD5">
        <w:rPr>
          <w:rFonts w:eastAsiaTheme="majorEastAsia"/>
          <w:b/>
          <w:sz w:val="20"/>
          <w:szCs w:val="20"/>
        </w:rPr>
        <w:t>PHẠM HIỂN</w:t>
      </w:r>
    </w:p>
    <w:p w:rsidR="00E25764" w:rsidRPr="00537AD5" w:rsidRDefault="00E25764" w:rsidP="00E25764">
      <w:pPr>
        <w:spacing w:line="360" w:lineRule="auto"/>
        <w:jc w:val="both"/>
        <w:rPr>
          <w:rFonts w:eastAsiaTheme="majorEastAsia"/>
          <w:b/>
          <w:sz w:val="24"/>
          <w:szCs w:val="24"/>
        </w:rPr>
      </w:pPr>
      <w:r w:rsidRPr="00537AD5">
        <w:rPr>
          <w:rFonts w:eastAsiaTheme="majorEastAsia"/>
          <w:b/>
          <w:sz w:val="24"/>
          <w:szCs w:val="24"/>
        </w:rPr>
        <w:t>Tài liệu tham khảo</w:t>
      </w:r>
    </w:p>
    <w:p w:rsidR="00E25764" w:rsidRPr="00537AD5" w:rsidRDefault="00E25764" w:rsidP="00E25764">
      <w:pPr>
        <w:tabs>
          <w:tab w:val="left" w:pos="993"/>
        </w:tabs>
        <w:spacing w:line="360" w:lineRule="auto"/>
        <w:jc w:val="both"/>
        <w:rPr>
          <w:rFonts w:eastAsiaTheme="majorEastAsia"/>
          <w:sz w:val="24"/>
          <w:szCs w:val="24"/>
        </w:rPr>
      </w:pPr>
      <w:r w:rsidRPr="00537AD5">
        <w:rPr>
          <w:rFonts w:eastAsiaTheme="majorEastAsia"/>
          <w:sz w:val="24"/>
          <w:szCs w:val="24"/>
        </w:rPr>
        <w:t xml:space="preserve">1. Nguyễn Thiện Giáp, </w:t>
      </w:r>
      <w:r w:rsidRPr="00537AD5">
        <w:rPr>
          <w:rFonts w:eastAsiaTheme="majorEastAsia"/>
          <w:i/>
          <w:iCs/>
          <w:sz w:val="24"/>
          <w:szCs w:val="24"/>
        </w:rPr>
        <w:t>Từ điển khái niệm ngôn ngữ học</w:t>
      </w:r>
      <w:r w:rsidRPr="00537AD5">
        <w:rPr>
          <w:rFonts w:eastAsiaTheme="majorEastAsia"/>
          <w:sz w:val="24"/>
          <w:szCs w:val="24"/>
        </w:rPr>
        <w:t>, Nxb. Đại học Quốc gia Hà Nội, Hà Nội, 2016.</w:t>
      </w:r>
    </w:p>
    <w:p w:rsidR="00E25764" w:rsidRPr="00537AD5" w:rsidRDefault="00E25764" w:rsidP="00E25764">
      <w:pPr>
        <w:tabs>
          <w:tab w:val="left" w:pos="993"/>
        </w:tabs>
        <w:spacing w:line="360" w:lineRule="auto"/>
        <w:jc w:val="both"/>
        <w:rPr>
          <w:rFonts w:eastAsiaTheme="majorEastAsia"/>
          <w:sz w:val="24"/>
          <w:szCs w:val="24"/>
        </w:rPr>
      </w:pPr>
      <w:r w:rsidRPr="00537AD5">
        <w:rPr>
          <w:rFonts w:eastAsiaTheme="majorEastAsia"/>
          <w:sz w:val="24"/>
          <w:szCs w:val="24"/>
        </w:rPr>
        <w:t xml:space="preserve">2. Matthews, P. H., </w:t>
      </w:r>
      <w:r w:rsidRPr="00537AD5">
        <w:rPr>
          <w:rFonts w:eastAsiaTheme="majorEastAsia"/>
          <w:i/>
          <w:iCs/>
          <w:sz w:val="24"/>
          <w:szCs w:val="24"/>
        </w:rPr>
        <w:t>dead language</w:t>
      </w:r>
      <w:r w:rsidRPr="00537AD5">
        <w:rPr>
          <w:rFonts w:eastAsiaTheme="majorEastAsia"/>
          <w:sz w:val="24"/>
          <w:szCs w:val="24"/>
        </w:rPr>
        <w:t xml:space="preserve">, </w:t>
      </w:r>
      <w:r w:rsidRPr="00537AD5">
        <w:rPr>
          <w:rFonts w:eastAsiaTheme="majorEastAsia"/>
          <w:i/>
          <w:iCs/>
          <w:sz w:val="24"/>
          <w:szCs w:val="24"/>
        </w:rPr>
        <w:t>The Concise Oxford Dictionary of Linguistics</w:t>
      </w:r>
      <w:r w:rsidRPr="00537AD5">
        <w:rPr>
          <w:rFonts w:eastAsiaTheme="majorEastAsia"/>
          <w:sz w:val="24"/>
          <w:szCs w:val="24"/>
        </w:rPr>
        <w:t>, Oxford University Press, 2007, retrieved 2021.</w:t>
      </w:r>
    </w:p>
    <w:p w:rsidR="00E25764" w:rsidRPr="00537AD5" w:rsidRDefault="00E25764" w:rsidP="00E25764">
      <w:pPr>
        <w:tabs>
          <w:tab w:val="left" w:pos="993"/>
        </w:tabs>
        <w:spacing w:line="360" w:lineRule="auto"/>
        <w:jc w:val="both"/>
        <w:rPr>
          <w:rFonts w:eastAsiaTheme="majorEastAsia"/>
          <w:sz w:val="24"/>
          <w:szCs w:val="24"/>
        </w:rPr>
      </w:pPr>
      <w:r w:rsidRPr="00537AD5">
        <w:rPr>
          <w:rFonts w:eastAsiaTheme="majorEastAsia"/>
          <w:sz w:val="24"/>
          <w:szCs w:val="24"/>
        </w:rPr>
        <w:t xml:space="preserve">3. Foltz, Anouschka), </w:t>
      </w:r>
      <w:r w:rsidRPr="00537AD5">
        <w:rPr>
          <w:rFonts w:eastAsiaTheme="majorEastAsia"/>
          <w:i/>
          <w:iCs/>
          <w:sz w:val="24"/>
          <w:szCs w:val="24"/>
        </w:rPr>
        <w:t>How Languages Die</w:t>
      </w:r>
      <w:r w:rsidRPr="00537AD5">
        <w:rPr>
          <w:rFonts w:eastAsiaTheme="majorEastAsia"/>
          <w:sz w:val="24"/>
          <w:szCs w:val="24"/>
        </w:rPr>
        <w:t>, The New Republic</w:t>
      </w:r>
      <w:proofErr w:type="gramStart"/>
      <w:r w:rsidRPr="00537AD5">
        <w:rPr>
          <w:rFonts w:eastAsiaTheme="majorEastAsia"/>
          <w:sz w:val="24"/>
          <w:szCs w:val="24"/>
        </w:rPr>
        <w:t>,  2015</w:t>
      </w:r>
      <w:proofErr w:type="gramEnd"/>
      <w:r w:rsidRPr="00537AD5">
        <w:rPr>
          <w:rFonts w:eastAsiaTheme="majorEastAsia"/>
          <w:sz w:val="24"/>
          <w:szCs w:val="24"/>
        </w:rPr>
        <w:t>, retrieved 2023.</w:t>
      </w:r>
    </w:p>
    <w:p w:rsidR="00E25764" w:rsidRPr="00537AD5" w:rsidRDefault="00E25764" w:rsidP="00E25764">
      <w:pPr>
        <w:tabs>
          <w:tab w:val="left" w:pos="993"/>
        </w:tabs>
        <w:spacing w:line="360" w:lineRule="auto"/>
        <w:jc w:val="both"/>
        <w:rPr>
          <w:rFonts w:eastAsiaTheme="majorEastAsia"/>
          <w:sz w:val="24"/>
          <w:szCs w:val="24"/>
        </w:rPr>
      </w:pPr>
      <w:r w:rsidRPr="00537AD5">
        <w:rPr>
          <w:rFonts w:eastAsiaTheme="majorEastAsia"/>
          <w:sz w:val="24"/>
          <w:szCs w:val="24"/>
        </w:rPr>
        <w:t xml:space="preserve">4. Coulter George, </w:t>
      </w:r>
      <w:r w:rsidRPr="00537AD5">
        <w:rPr>
          <w:rFonts w:eastAsiaTheme="majorEastAsia"/>
          <w:i/>
          <w:iCs/>
          <w:sz w:val="24"/>
          <w:szCs w:val="24"/>
        </w:rPr>
        <w:t>How dead languages work</w:t>
      </w:r>
      <w:r w:rsidRPr="00537AD5">
        <w:rPr>
          <w:rFonts w:eastAsiaTheme="majorEastAsia"/>
          <w:sz w:val="24"/>
          <w:szCs w:val="24"/>
        </w:rPr>
        <w:t>, Oxford: Oxford University Press, 2020, p. viii, 224.</w:t>
      </w:r>
    </w:p>
    <w:p w:rsidR="0074324B" w:rsidRDefault="00E25764">
      <w:bookmarkStart w:id="1" w:name="_GoBack"/>
      <w:bookmarkEnd w:id="1"/>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479"/>
    <w:rsid w:val="005A6D57"/>
    <w:rsid w:val="007D3409"/>
    <w:rsid w:val="00C02CDB"/>
    <w:rsid w:val="00C42479"/>
    <w:rsid w:val="00E25764"/>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B9535-9083-497E-A217-8E16FB1F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764"/>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2025-12-15T07:54:00Z</dcterms:created>
  <dcterms:modified xsi:type="dcterms:W3CDTF">2025-12-15T07:54:00Z</dcterms:modified>
</cp:coreProperties>
</file>